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/>
        <w:jc w:val="center"/>
        <w:rPr>
          <w:b w:val="1"/>
        </w:rPr>
      </w:pPr>
      <w:r>
        <w:rPr>
          <w:b w:val="0"/>
        </w:rPr>
        <w:t xml:space="preserve">      </w:t>
      </w:r>
      <w:r>
        <w:rPr>
          <w:b w:val="0"/>
        </w:rPr>
        <w:tab/>
      </w:r>
      <w:r>
        <w:rPr>
          <w:b w:val="1"/>
        </w:rPr>
        <w:tab/>
      </w:r>
      <w:r>
        <w:rPr>
          <w:b w:val="1"/>
        </w:rPr>
        <w:t>Изменения  в законодательстве о противодействии коррупции</w:t>
      </w:r>
    </w:p>
    <w:p w14:paraId="02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/>
        <w:jc w:val="center"/>
        <w:rPr>
          <w:b w:val="0"/>
        </w:rPr>
      </w:pPr>
    </w:p>
    <w:p w14:paraId="03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/>
        <w:jc w:val="both"/>
        <w:rPr>
          <w:b w:val="0"/>
        </w:rPr>
      </w:pPr>
      <w:r>
        <w:rPr>
          <w:b w:val="0"/>
        </w:rPr>
        <w:t xml:space="preserve">        Президентом Российской Федерации  28 декабря 2025 года подписан Федеральный закон № 505-ФЗ, которым внесены изменения в отдельные законодательные акты.</w:t>
      </w:r>
    </w:p>
    <w:p w14:paraId="04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С 1 января 2026 года лица, замещающие государственные должности Российской Федерации, государственные должности субъектов Российской Федерации, должности государственной и муниципальной службы и должности в отдельных организациях с государственным участием будут обязаны представлять сведения о доходах, об имуществе и обязательствах  имущественного характера не ежегодно, а в случае возникновения оснований для представления сведений о расходах в соответствии с Федеральным законом от 3 декабря 2012 года №230-ФЗ «О контроле за соответствием расходов лиц,замещающих государственные должности, и  иных лиц их доходам» (например  при приобретении имущества, стоимость которого превышает общий трехлетний доход семьи государственного служащего).</w:t>
      </w:r>
    </w:p>
    <w:p w14:paraId="05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 w:firstLine="0" w:left="0"/>
        <w:jc w:val="both"/>
        <w:rPr>
          <w:b w:val="0"/>
        </w:rPr>
      </w:pPr>
      <w:r>
        <w:rPr>
          <w:b w:val="0"/>
        </w:rPr>
        <w:t xml:space="preserve">          Такие сведения будут представлять до 30 апреля года, следующего за годом, в котором возникли основания, предусмотренные указанным выше Федеральным законом.</w:t>
      </w:r>
    </w:p>
    <w:p w14:paraId="06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 w:firstLine="0" w:left="0"/>
        <w:jc w:val="both"/>
        <w:rPr>
          <w:b w:val="0"/>
        </w:rPr>
      </w:pPr>
      <w:r>
        <w:rPr>
          <w:b w:val="0"/>
        </w:rPr>
        <w:t xml:space="preserve">         При этом необходимость подачи деклараций сохранится при переводе государственного</w:t>
      </w:r>
      <w:r>
        <w:rPr>
          <w:b w:val="0"/>
        </w:rPr>
        <w:tab/>
      </w:r>
      <w:r>
        <w:rPr>
          <w:b w:val="0"/>
        </w:rPr>
        <w:t xml:space="preserve"> служащего из одного государственного органа в другой государственный орган, назначении государственного  служащего на должность государственной службы, включенную  в соответствующий перечень, включение лица в федеральный кадровый резерв.</w:t>
      </w:r>
    </w:p>
    <w:p w14:paraId="07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 w:firstLine="0" w:lef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Кроме этого, с 01.01.2026 вступила в силу новая ст.281.1 Трудового кодекса РФ,  изменениями, аналогичными для руководителей муниципальных учреждений.</w:t>
      </w:r>
    </w:p>
    <w:p w14:paraId="08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 w:firstLine="0" w:lef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Также законом отменены положения, устанавливающие требование о размещении представленных сведений в сети Интернет.</w:t>
      </w:r>
    </w:p>
    <w:p w14:paraId="09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 w:firstLine="0" w:left="0"/>
        <w:jc w:val="both"/>
        <w:rPr>
          <w:b w:val="0"/>
        </w:rPr>
      </w:pPr>
    </w:p>
    <w:p w14:paraId="0A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 w:firstLine="0" w:left="0"/>
        <w:jc w:val="both"/>
        <w:rPr>
          <w:b w:val="0"/>
        </w:rPr>
      </w:pPr>
    </w:p>
    <w:p w14:paraId="0B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 w:firstLine="0" w:left="0"/>
        <w:jc w:val="both"/>
        <w:rPr>
          <w:b w:val="0"/>
        </w:rPr>
      </w:pPr>
      <w:r>
        <w:rPr>
          <w:b w:val="0"/>
        </w:rPr>
        <w:t>Старший помощник прокурора</w:t>
      </w:r>
    </w:p>
    <w:p w14:paraId="0C00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1" w:sz="4" w:val="single"/>
        </w:pBdr>
        <w:spacing w:line="240" w:lineRule="auto"/>
        <w:ind w:firstLine="0" w:left="0"/>
        <w:jc w:val="both"/>
        <w:rPr>
          <w:b w:val="0"/>
        </w:rPr>
      </w:pPr>
      <w:r>
        <w:rPr>
          <w:b w:val="0"/>
        </w:rPr>
        <w:t>младший советник юстиции                                                   Г.Н.Мельниченко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2025-08-13T02:10:00Z</dcterms:created>
  <dcterms:modified xsi:type="dcterms:W3CDTF">2026-03-10T08:56:55Z</dcterms:modified>
</cp:coreProperties>
</file>